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ccessible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1F3F6B"/>
          <w:sz w:val="44"/>
        </w:rPr>
        <w:t>Financial Proposal</w:t>
      </w:r>
    </w:p>
    <w:p>
      <w:pPr>
        <w:jc w:val="center"/>
      </w:pPr>
      <w:r>
        <w:rPr>
          <w:b/>
          <w:color w:val="2F5C9A"/>
          <w:sz w:val="24"/>
        </w:rPr>
        <w:t>Girl Effect Content Writing Consultancy</w:t>
      </w:r>
    </w:p>
    <w:p>
      <w:pPr>
        <w:jc w:val="center"/>
      </w:pPr>
      <w:r>
        <w:rPr>
          <w:color w:val="1F3F6B"/>
          <w:sz w:val="20"/>
        </w:rPr>
        <w:t>Submitted by BeAccessible (Pty) Ltd</w:t>
      </w:r>
    </w:p>
    <w:p>
      <w:pPr>
        <w:pStyle w:val="Heading1"/>
      </w:pPr>
      <w:r>
        <w:t>Commercial Summary</w:t>
      </w:r>
    </w:p>
    <w:p>
      <w:r>
        <w:t>The financial proposal below is submitted separately from the technical proposal. Rates are presented in Indian Rupees (INR).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1F3F6B"/>
          </w:tcPr>
          <w:p>
            <w:r>
              <w:rPr>
                <w:b/>
                <w:color w:val="FFFFFF"/>
              </w:rPr>
              <w:t>Line Item</w:t>
            </w:r>
          </w:p>
        </w:tc>
        <w:tc>
          <w:tcPr>
            <w:tcW w:type="dxa" w:w="2556"/>
            <w:shd w:fill="1F3F6B"/>
          </w:tcPr>
          <w:p>
            <w:r>
              <w:rPr>
                <w:b/>
                <w:color w:val="FFFFFF"/>
              </w:rPr>
              <w:t>Rate / Assumption</w:t>
            </w:r>
          </w:p>
        </w:tc>
        <w:tc>
          <w:tcPr>
            <w:tcW w:type="dxa" w:w="2556"/>
            <w:shd w:fill="1F3F6B"/>
          </w:tcPr>
          <w:p>
            <w:r>
              <w:rPr>
                <w:b/>
                <w:color w:val="FFFFFF"/>
              </w:rPr>
              <w:t>Quantity</w:t>
            </w:r>
          </w:p>
        </w:tc>
        <w:tc>
          <w:tcPr>
            <w:tcW w:type="dxa" w:w="2556"/>
            <w:shd w:fill="1F3F6B"/>
          </w:tcPr>
          <w:p>
            <w:r>
              <w:rPr>
                <w:b/>
                <w:color w:val="FFFFFF"/>
              </w:rPr>
              <w:t>Total (INR)</w:t>
            </w:r>
          </w:p>
        </w:tc>
      </w:tr>
      <w:tr>
        <w:tc>
          <w:tcPr>
            <w:tcW w:type="dxa" w:w="2556"/>
            <w:vAlign w:val="center"/>
          </w:tcPr>
          <w:p>
            <w:r>
              <w:rPr>
                <w:sz w:val="18"/>
              </w:rPr>
              <w:t>Daily professional fee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INR 35,000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1 day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INR 35,000</w:t>
            </w:r>
          </w:p>
        </w:tc>
      </w:tr>
      <w:tr>
        <w:tc>
          <w:tcPr>
            <w:tcW w:type="dxa" w:w="2556"/>
            <w:vAlign w:val="center"/>
          </w:tcPr>
          <w:p>
            <w:r>
              <w:rPr>
                <w:sz w:val="18"/>
              </w:rPr>
              <w:t>Monthly equivalent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INR 35,000 per day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20 billable days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INR 700,000</w:t>
            </w:r>
          </w:p>
        </w:tc>
      </w:tr>
      <w:tr>
        <w:tc>
          <w:tcPr>
            <w:tcW w:type="dxa" w:w="2556"/>
            <w:vAlign w:val="center"/>
          </w:tcPr>
          <w:p>
            <w:r>
              <w:rPr>
                <w:sz w:val="18"/>
              </w:rPr>
              <w:t>Estimated duration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4-5 months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Timeline-based project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Billed against approved workplan</w:t>
            </w:r>
          </w:p>
        </w:tc>
      </w:tr>
      <w:tr>
        <w:tc>
          <w:tcPr>
            <w:tcW w:type="dxa" w:w="2556"/>
            <w:vAlign w:val="center"/>
          </w:tcPr>
          <w:p>
            <w:r>
              <w:rPr>
                <w:sz w:val="18"/>
              </w:rPr>
              <w:t>Proposal validity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90 days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From bid closure</w:t>
            </w:r>
          </w:p>
        </w:tc>
        <w:tc>
          <w:tcPr>
            <w:tcW w:type="dxa" w:w="2556"/>
            <w:vAlign w:val="center"/>
          </w:tcPr>
          <w:p>
            <w:r>
              <w:rPr>
                <w:sz w:val="18"/>
              </w:rPr>
              <w:t>Valid as stated</w:t>
            </w:r>
          </w:p>
        </w:tc>
      </w:tr>
    </w:tbl>
    <w:p>
      <w:pPr>
        <w:pStyle w:val="Heading2"/>
      </w:pPr>
      <w:r>
        <w:t>Inclusions</w:t>
      </w:r>
    </w:p>
    <w:p>
      <w:pPr>
        <w:pStyle w:val="ListBullet"/>
      </w:pPr>
      <w:r>
        <w:t>Inclusive learning design and content planning</w:t>
      </w:r>
    </w:p>
    <w:p>
      <w:pPr>
        <w:pStyle w:val="ListBullet"/>
      </w:pPr>
      <w:r>
        <w:t>Multimedia scripts, chatbot conversations, activities and facilitator guidance as agreed in the workplan</w:t>
      </w:r>
    </w:p>
    <w:p>
      <w:pPr>
        <w:pStyle w:val="ListBullet"/>
      </w:pPr>
      <w:r>
        <w:t>Accessibility and Universal Design review</w:t>
      </w:r>
    </w:p>
    <w:p>
      <w:pPr>
        <w:pStyle w:val="ListBullet"/>
      </w:pPr>
      <w:r>
        <w:t>AI-assisted quality assurance under human review</w:t>
      </w:r>
    </w:p>
    <w:p>
      <w:pPr>
        <w:pStyle w:val="ListBullet"/>
      </w:pPr>
      <w:r>
        <w:t>Revision cycles based on agreed review windows</w:t>
      </w:r>
    </w:p>
    <w:p>
      <w:pPr>
        <w:pStyle w:val="ListBullet"/>
      </w:pPr>
      <w:r>
        <w:t>Collaboration with Girl Effect programme and content teams</w:t>
      </w:r>
    </w:p>
    <w:p>
      <w:pPr>
        <w:pStyle w:val="Heading2"/>
      </w:pPr>
      <w:r>
        <w:t>Assumptions</w:t>
      </w:r>
    </w:p>
    <w:p>
      <w:pPr>
        <w:pStyle w:val="ListBullet"/>
      </w:pPr>
      <w:r>
        <w:t>Rates exclude applicable taxes unless otherwise required by local jurisdiction.</w:t>
      </w:r>
    </w:p>
    <w:p>
      <w:pPr>
        <w:pStyle w:val="ListBullet"/>
      </w:pPr>
      <w:r>
        <w:t>Travel, workshops or in-person activities are excluded unless separately agreed in writing.</w:t>
      </w:r>
    </w:p>
    <w:p>
      <w:pPr>
        <w:pStyle w:val="ListBullet"/>
      </w:pPr>
      <w:r>
        <w:t>Translation, localisation and subject matter validation will be coordinated with Girl Effect and local specialists.</w:t>
      </w:r>
    </w:p>
    <w:p>
      <w:pPr>
        <w:pStyle w:val="ListBullet"/>
      </w:pPr>
      <w:r>
        <w:t>Final billing will align with the agreed workplan, approved deliverables and actual days worked.</w:t>
      </w:r>
    </w:p>
    <w:p>
      <w:pPr>
        <w:pStyle w:val="Heading2"/>
      </w:pPr>
      <w:r>
        <w:t>Accessibility Compliance Note</w:t>
      </w:r>
    </w:p>
    <w:p>
      <w:r>
        <w:t>Structured headings, logical reading order, accessible table headers, high-contrast BeAccessible colours and non-colour-only communication have been applied. WCAG 2.2 Level AAA is targeted where practical for document limitations.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1F3F6B"/>
        <w:sz w:val="17"/>
      </w:rPr>
      <w:t>BeAccessible (Pty) Ltd | Creating Access for All | hello@beaccessible.co.za | beaccessible.co.za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eaccessible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1F3F6B"/>
      </w:rPr>
      <w:t xml:space="preserve">  BeAccessible | Financial Proposal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F3F6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3F6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F3F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F3F6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