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234440" cy="1234440"/>
            <wp:docPr id="1" name="Picture 1" descr="BeAccessible circular logo with the words BeAccessible and Creating Access for All." title="BeAccessible logo"/>
            <wp:cNvGraphicFramePr>
              <a:graphicFrameLocks noChangeAspect="1"/>
            </wp:cNvGraphicFramePr>
            <a:graphic>
              <a:graphicData uri="http://schemas.openxmlformats.org/drawingml/2006/picture">
                <pic:pic>
                  <pic:nvPicPr>
                    <pic:cNvPr id="0" name="BeAccessible_logo_fixed_256(1).png"/>
                    <pic:cNvPicPr/>
                  </pic:nvPicPr>
                  <pic:blipFill>
                    <a:blip r:embed="rId11"/>
                    <a:stretch>
                      <a:fillRect/>
                    </a:stretch>
                  </pic:blipFill>
                  <pic:spPr>
                    <a:xfrm>
                      <a:off x="0" y="0"/>
                      <a:ext cx="1234440" cy="1234440"/>
                    </a:xfrm>
                    <a:prstGeom prst="rect"/>
                  </pic:spPr>
                </pic:pic>
              </a:graphicData>
            </a:graphic>
          </wp:inline>
        </w:drawing>
      </w:r>
    </w:p>
    <w:p>
      <w:pPr>
        <w:pStyle w:val="Title"/>
        <w:jc w:val="center"/>
      </w:pPr>
      <w:r>
        <w:t>Part 5 — Selected Project Portfolio</w:t>
      </w:r>
    </w:p>
    <w:p>
      <w:pPr>
        <w:jc w:val="center"/>
      </w:pPr>
      <w:r>
        <w:rPr>
          <w:rFonts w:ascii="Arial" w:hAnsi="Arial"/>
          <w:b/>
          <w:color w:val="2F5C9A"/>
          <w:sz w:val="28"/>
        </w:rPr>
        <w:t>Relevant Work for Girl Effect India</w:t>
      </w:r>
    </w:p>
    <w:p>
      <w:pPr>
        <w:jc w:val="center"/>
      </w:pPr>
      <w:r>
        <w:rPr>
          <w:rFonts w:ascii="Arial" w:hAnsi="Arial"/>
          <w:b/>
          <w:color w:val="222222"/>
          <w:sz w:val="22"/>
        </w:rPr>
        <w:t>Prepared for Girl Effect India</w:t>
      </w:r>
    </w:p>
    <w:p>
      <w:pPr>
        <w:jc w:val="center"/>
      </w:pPr>
      <w:r>
        <w:rPr>
          <w:rFonts w:ascii="Arial" w:hAnsi="Arial"/>
          <w:sz w:val="21"/>
        </w:rPr>
        <w:t>Request for Proposal: Content Writing | August 2026</w:t>
      </w:r>
    </w:p>
    <w:p>
      <w:pPr>
        <w:jc w:val="center"/>
      </w:pPr>
      <w:r>
        <w:rPr>
          <w:rFonts w:ascii="Arial" w:hAnsi="Arial"/>
          <w:sz w:val="21"/>
        </w:rPr>
        <w:t>Submitted by BeAccessible | Fadila Ethne Lagadien, MBA</w:t>
      </w:r>
    </w:p>
    <w:p>
      <w:pPr>
        <w:jc w:val="center"/>
      </w:pPr>
      <w:r>
        <w:rPr>
          <w:rFonts w:ascii="Arial" w:hAnsi="Arial"/>
          <w:sz w:val="21"/>
        </w:rPr>
        <w:t>22 August 2026</w:t>
      </w:r>
    </w:p>
    <w:p/>
    <w:p>
      <w:pPr>
        <w:jc w:val="center"/>
      </w:pPr>
      <w:r>
        <w:rPr>
          <w:rFonts w:ascii="Arial" w:hAnsi="Arial"/>
          <w:i/>
          <w:color w:val="1F3F6B"/>
          <w:sz w:val="22"/>
        </w:rPr>
        <w:t>Accessible, youth-centred, behaviour-change learning content designed for adaptation across languages, literacy levels and delivery channels.</w:t>
      </w:r>
    </w:p>
    <w:p>
      <w:r>
        <w:br w:type="page"/>
      </w:r>
    </w:p>
    <w:p>
      <w:r>
        <w:t>This portfolio highlights work most relevant to Girl Effect’s requirement for youth-centred, accessible, interactive, translation-ready and digitally enabled learning content. It is not intended as an exhaustive list of BeAccessible work.</w:t>
      </w:r>
    </w:p>
    <w:p>
      <w:pPr>
        <w:pStyle w:val="Heading1"/>
      </w:pPr>
      <w:r>
        <w:t>1. BeAccessible Learning Hub</w:t>
      </w:r>
    </w:p>
    <w:p>
      <w:r>
        <w:rPr>
          <w:b/>
          <w:color w:val="2F5C9A"/>
        </w:rPr>
        <w:t>Accessible Learning Platform</w:t>
      </w:r>
    </w:p>
    <w:p>
      <w:r>
        <w:t>A growing learning environment designed for modular courses, learner journeys, accessible forms and inclusive digital participation. The work demonstrates BeAccessible’s ability to structure learning content for online delivery while integrating accessibility at the platform and content level.</w:t>
      </w:r>
    </w:p>
    <w:p>
      <w:r>
        <w:t>Relevant capabilities: learning architecture; learner support; accessible digital delivery; forms and enrolment; modular content.</w:t>
      </w:r>
    </w:p>
    <w:p>
      <w:r>
        <w:t xml:space="preserve">View example: </w:t>
      </w:r>
      <w:hyperlink r:id="rId12">
        <w:r>
          <w:rPr>
            <w:color w:val="2F5C9A"/>
            <w:u w:val="single"/>
          </w:rPr>
          <w:t>Open the BeAccessible Learning Hub</w:t>
        </w:r>
      </w:hyperlink>
    </w:p>
    <w:p>
      <w:pPr>
        <w:pStyle w:val="Heading1"/>
      </w:pPr>
      <w:r>
        <w:t>2. UDL Educator Hub</w:t>
      </w:r>
    </w:p>
    <w:p>
      <w:r>
        <w:rPr>
          <w:b/>
          <w:color w:val="2F5C9A"/>
        </w:rPr>
        <w:t>Universal Design for Learning</w:t>
      </w:r>
    </w:p>
    <w:p>
      <w:r>
        <w:t>A practical UDL-focused learning environment and resource hub designed to help educators apply multiple means of engagement, representation and action/expression. It reflects BeAccessible’s approach of designing for learner variability rather than retrofitting support after barriers appear.</w:t>
      </w:r>
    </w:p>
    <w:p>
      <w:r>
        <w:t>Relevant capabilities: UDL; inclusive activities; learner variability; practical guidance; accessible content design.</w:t>
      </w:r>
    </w:p>
    <w:p>
      <w:r>
        <w:t xml:space="preserve">View example: </w:t>
      </w:r>
      <w:hyperlink r:id="rId13">
        <w:r>
          <w:rPr>
            <w:color w:val="2F5C9A"/>
            <w:u w:val="single"/>
          </w:rPr>
          <w:t>Open the UDL Educator Hub</w:t>
        </w:r>
      </w:hyperlink>
    </w:p>
    <w:p>
      <w:pPr>
        <w:pStyle w:val="Heading1"/>
      </w:pPr>
      <w:r>
        <w:t>3. BiasLens</w:t>
      </w:r>
    </w:p>
    <w:p>
      <w:r>
        <w:rPr>
          <w:b/>
          <w:color w:val="2F5C9A"/>
        </w:rPr>
        <w:t>Responsible AI / Conversational Guidance</w:t>
      </w:r>
    </w:p>
    <w:p>
      <w:r>
        <w:t>An evidence-aware AI governance and bias-assurance platform accompanied by accessible chatbot guidance. The work includes complex knowledge translation, conversational question-and-answer design, multilingual considerations, voice interaction and accessible interface refinement.</w:t>
      </w:r>
    </w:p>
    <w:p>
      <w:r>
        <w:t>Relevant capabilities: chatbot dialogue; complex-content simplification; structured evidence; accessibility; multilingual / voice interaction.</w:t>
      </w:r>
    </w:p>
    <w:p>
      <w:r>
        <w:t xml:space="preserve">View example: </w:t>
      </w:r>
      <w:hyperlink r:id="rId14">
        <w:r>
          <w:rPr>
            <w:color w:val="2F5C9A"/>
            <w:u w:val="single"/>
          </w:rPr>
          <w:t>Open BiasLens</w:t>
        </w:r>
      </w:hyperlink>
    </w:p>
    <w:p>
      <w:pPr>
        <w:pStyle w:val="Heading1"/>
      </w:pPr>
      <w:r>
        <w:t>4. Accessible Demo Portfolio</w:t>
      </w:r>
    </w:p>
    <w:p>
      <w:r>
        <w:rPr>
          <w:b/>
          <w:color w:val="2F5C9A"/>
        </w:rPr>
        <w:t>Accessible Digital Experience Design</w:t>
      </w:r>
    </w:p>
    <w:p>
      <w:r>
        <w:t>A collection of accessible demonstration websites and product experiences showing BeAccessible’s ability to translate requirements into usable, responsive and accessible digital journeys.</w:t>
      </w:r>
    </w:p>
    <w:p>
      <w:r>
        <w:t>Relevant capabilities: accessible digital storytelling; navigation; low-effort interaction; semantic structure; responsive delivery.</w:t>
      </w:r>
    </w:p>
    <w:p>
      <w:r>
        <w:t xml:space="preserve">View example: </w:t>
      </w:r>
      <w:hyperlink r:id="rId15">
        <w:r>
          <w:rPr>
            <w:color w:val="2F5C9A"/>
            <w:u w:val="single"/>
          </w:rPr>
          <w:t>Open the Accessible Demo Portfolio</w:t>
        </w:r>
      </w:hyperlink>
    </w:p>
    <w:p>
      <w:pPr>
        <w:pStyle w:val="Heading1"/>
      </w:pPr>
      <w:r>
        <w:t>5. Custom GPT and Knowledge-Assistant Portfolio</w:t>
      </w:r>
    </w:p>
    <w:p>
      <w:r>
        <w:rPr>
          <w:b/>
          <w:color w:val="2F5C9A"/>
        </w:rPr>
        <w:t>Conversational Learning and Knowledge Support</w:t>
      </w:r>
    </w:p>
    <w:p>
      <w:r>
        <w:t>BeAccessible has developed custom assistants for Universal Design for Learning, disability rights, donor concept notes, workplace inclusion, HR policy, accessibility auditing and other specialist contexts. These projects require complex subject matter to be converted into clear questions, structured explanations, guided choices and practical next steps.</w:t>
      </w:r>
    </w:p>
    <w:p>
      <w:r>
        <w:t>Relevant capabilities: conversational writing; branching support; FAQs; learner / user guidance; human-reviewed knowledge design.</w:t>
      </w:r>
    </w:p>
    <w:p>
      <w:pPr>
        <w:pStyle w:val="Heading1"/>
      </w:pPr>
      <w:r>
        <w:t>6. Policy, Facilitation and Inclusion Resources</w:t>
      </w:r>
    </w:p>
    <w:p>
      <w:r>
        <w:rPr>
          <w:b/>
          <w:color w:val="2F5C9A"/>
        </w:rPr>
        <w:t>Complex Content Translation</w:t>
      </w:r>
    </w:p>
    <w:p>
      <w:r>
        <w:t>Across public-sector, disability, employment, transformation and organisational work, Fadila Lagadien has translated policy and specialist knowledge into consultation material, strategic reports, facilitation content, practical guidance and stakeholder communication.</w:t>
      </w:r>
    </w:p>
    <w:p>
      <w:r>
        <w:t>Relevant capabilities: research; simplification; facilitator support; stakeholder language; policy accuracy; inclusion and gender / disability perspectives.</w:t>
      </w:r>
    </w:p>
    <w:p>
      <w:pPr>
        <w:pStyle w:val="Heading1"/>
      </w:pPr>
      <w:r>
        <w:t>7. Methodology Demonstrated Across the Portfolio</w:t>
      </w:r>
    </w:p>
    <w:p>
      <w:pPr>
        <w:pStyle w:val="ListBullet"/>
      </w:pPr>
      <w:r>
        <w:t>Accessibility and Universal Design are integrated at the point of design.</w:t>
      </w:r>
    </w:p>
    <w:p>
      <w:pPr>
        <w:pStyle w:val="ListBullet"/>
      </w:pPr>
      <w:r>
        <w:t>Complex information is converted into short, structured, practical interactions.</w:t>
      </w:r>
    </w:p>
    <w:p>
      <w:pPr>
        <w:pStyle w:val="ListBullet"/>
      </w:pPr>
      <w:r>
        <w:t>Human review remains central where judgement, safety, policy interpretation or cultural nuance is material.</w:t>
      </w:r>
    </w:p>
    <w:p>
      <w:pPr>
        <w:pStyle w:val="ListBullet"/>
      </w:pPr>
      <w:r>
        <w:t>Content and interface design are treated as one learner / user experience rather than separate production streams.</w:t>
      </w:r>
    </w:p>
    <w:p>
      <w:pPr>
        <w:pStyle w:val="ListBullet"/>
      </w:pPr>
      <w:r>
        <w:t>Reusable patterns, clear versioning and structured content make adaptation and scaling more practical.</w:t>
      </w:r>
    </w:p>
    <w:p>
      <w:pPr>
        <w:pStyle w:val="Heading1"/>
      </w:pPr>
      <w:r>
        <w:t>8. Application to Girl Effect</w:t>
      </w:r>
    </w:p>
    <w:p>
      <w:r>
        <w:t>The strongest transfer to Girl Effect is the combination of learning design, accessible content, chatbot and conversational writing, facilitator support, complex-topic simplification and inclusive digital delivery. BeAccessible will apply these capabilities within Girl Effect’s own brand, behaviour-change methodology, safeguarding requirements and India-specific localisation process rather than importing the look or content of the examples above.</w:t>
      </w:r>
    </w:p>
    <w:p>
      <w:pPr>
        <w:pStyle w:val="Heading1"/>
      </w:pPr>
      <w:r>
        <w:t>Accessibility Compliance Note</w:t>
      </w:r>
    </w:p>
    <w:p>
      <w:r>
        <w:t>This Word document uses a logical heading hierarchy, readable Arial typography, strong text contrast, accessible table headers, meaningful hyperlink text, short paragraphs, and a linear reading order. The BeAccessible logo includes alternative text. Information is not conveyed by colour alone. The structure is intended to support keyboard navigation, screen-reader use, magnification, reflow and low-effort reading, consistent with Universal Design principles and WCAG-informed document practice.</w:t>
      </w:r>
    </w:p>
    <w:sectPr w:rsidR="00FC693F" w:rsidRPr="0006063C" w:rsidSect="00034616">
      <w:headerReference w:type="default" r:id="rId9"/>
      <w:footerReference w:type="default" r:id="rId10"/>
      <w:pgSz w:w="12240" w:h="15840"/>
      <w:pgMar w:top="936"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ASmall"/>
      <w:jc w:val="center"/>
    </w:pPr>
    <w:r>
      <w:t xml:space="preserve">BeAccessible | Creating Access for All | beaccessible.co.za | </w:t>
    </w:r>
    <w:hyperlink r:id="rId1">
      <w:r>
        <w:rPr>
          <w:color w:val="2F5C9A"/>
          <w:u w:val="single"/>
        </w:rPr>
        <w:t>fadila@beaccessible.co.za</w:t>
      </w:r>
    </w:hyperlink>
    <w:r>
      <w:t xml:space="preserve"> | </w:t>
    </w:r>
    <w:r>
      <w:t xml:space="preserve">Page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66928" cy="566928"/>
          <wp:docPr id="1" name="Picture 1" descr="BeAccessible circular logo with the words BeAccessible and Creating Access for All." title="BeAccessible logo"/>
          <wp:cNvGraphicFramePr>
            <a:graphicFrameLocks noChangeAspect="1"/>
          </wp:cNvGraphicFramePr>
          <a:graphic>
            <a:graphicData uri="http://schemas.openxmlformats.org/drawingml/2006/picture">
              <pic:pic>
                <pic:nvPicPr>
                  <pic:cNvPr id="0" name="BeAccessible_logo_fixed_256(1).png"/>
                  <pic:cNvPicPr/>
                </pic:nvPicPr>
                <pic:blipFill>
                  <a:blip r:embed="rId1"/>
                  <a:stretch>
                    <a:fillRect/>
                  </a:stretch>
                </pic:blipFill>
                <pic:spPr>
                  <a:xfrm>
                    <a:off x="0" y="0"/>
                    <a:ext cx="566928" cy="566928"/>
                  </a:xfrm>
                  <a:prstGeom prst="rect"/>
                </pic:spPr>
              </pic:pic>
            </a:graphicData>
          </a:graphic>
        </wp:inline>
      </w:drawing>
    </w:r>
    <w:r>
      <w:rPr>
        <w:rFonts w:ascii="Arial" w:hAnsi="Arial"/>
        <w:b/>
        <w:color w:val="1F3F6B"/>
        <w:sz w:val="18"/>
      </w:rPr>
      <w:t xml:space="preserve">  BeAccessible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1F3F6B"/>
      <w:sz w:val="3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2F5C9A"/>
      <w:sz w:val="27"/>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1F3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1F3F6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ASmall">
    <w:name w:val="BA Small"/>
    <w:pPr>
      <w:spacing w:after="60"/>
    </w:pPr>
    <w:rPr>
      <w:rFonts w:ascii="Arial" w:hAnsi="Arial"/>
      <w:color w:val="222222"/>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learn.beaccessible.co.za" TargetMode="External"/><Relationship Id="rId13" Type="http://schemas.openxmlformats.org/officeDocument/2006/relationships/hyperlink" Target="https://udl-educator-hub.netlify.app" TargetMode="External"/><Relationship Id="rId14" Type="http://schemas.openxmlformats.org/officeDocument/2006/relationships/hyperlink" Target="https://biaslens.beaccessible.co.za" TargetMode="External"/><Relationship Id="rId15" Type="http://schemas.openxmlformats.org/officeDocument/2006/relationships/hyperlink" Target="https://accessible-demo-websites.vercel.app"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fadila@beaccessible.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